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2013/176 vom 30. November 2015</w:t>
      </w:r>
    </w:p>
    <w:p>
      <w:r>
        <w:t>Sg Versicherungsgericht, 2015-11-30, DE</w:t>
      </w:r>
    </w:p>
    <w:p>
      <w:r>
        <w:rPr>
          <w:b/>
        </w:rPr>
        <w:t xml:space="preserve">Quelle: </w:t>
      </w:r>
      <w:r>
        <w:t>https://mcp.opencaselaw.ch/entscheid/sg_publikationen_IV 2013_176</w:t>
      </w:r>
    </w:p>
    <w:p>
      <w:r>
        <w:t>FR: SG_VERSICHERUNGSGERICHT IV 2013/176 du 30 novembre 2015</w:t>
      </w:r>
    </w:p>
    <w:p>
      <w:r>
        <w:t>IT: SG_VERSICHERUNGSGERICHT IV 2013/176 del 30 novembre 2015</w:t>
      </w:r>
    </w:p>
    <w:p>
      <w:pPr>
        <w:pStyle w:val="Heading2"/>
      </w:pPr>
      <w:r>
        <w:t>Regeste</w:t>
      </w:r>
    </w:p>
    <w:p>
      <w:r>
        <w:t>Art. 43 Abs. 1 ATSG Da in psychiatrischer Hinsicht keine brauchbare Arbeitsfähigkeitsschätzung im Recht liegt, insbesondere das psychiatrische Teilgutachten der BEGAZ nicht überzeugt, ist die Sache zur erneuten psychiatrischen Begutachtung an die IV-Stelle zurückzuweisen. Die Beschwerdegegnerin wird zudem prüfen müssen, ob der von der Haftpflichtversicherung in Auftrag gegebene Observationsbericht im IV-Verfahren verwertbar ist. Sollte dies der Fall sein, wird der neue psychiatrische Gutachter auch Stellung zu den Observationsergebnissen nehmen müssen (Entscheid des Versicherungsgerichts des Kantons St. Gallen vom 30. November 2015, IV 2013/176).</w:t>
      </w:r>
    </w:p>
    <w:p>
      <w:pPr>
        <w:pStyle w:val="Heading2"/>
      </w:pPr>
      <w:r>
        <w:t>Erwägungen</w:t>
      </w:r>
    </w:p>
    <w:p>
      <w:r>
        <w:rPr>
          <w:b/>
        </w:rPr>
        <w:t>E. 1</w:t>
      </w:r>
    </w:p>
    <w:p>
      <w:r>
        <w:t>1.1      Mit der angefochtenen Verfügung vom 21. März 2013 hat die Beschwerdegegnerin einen Rentenanspruch der Beschwerdeführerin bei einem Invaliditätsgrad von 16 % abgelehnt.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Das ausschlaggebende Element des Einkommensvergleichs ist in aller Regel die Arbeitsfähigkeit bzw. die Arbeitsunfähigkeit einer versicherten Person. Deshalb ist als Erstes zu prüfen, ob die Arbeitsunfähigkeit der Beschwerdeführerin mit dem erforderlichen Beweisgrad der überwiegenden Wahrscheinlichkeit feststeht: In somatischer Hinsicht hat die Beschwerdeführerin insbesondere starke Schmerzen im Nacken, in den Schultern, in den Armen und in der Wirbelsäule sowie starke Kopfschmerzen geltend gemacht. Der neurologische Gutachter der BEGAZ hat anlässlich der Untersuchung am 19. Juni 2012 weder ein radikuläres Reiz- oder Ausfallsyndrom noch eine sonstige spezifische neurologische Funktionsstörung feststellen können. Zum selben Ergebnis sind die Neurologen Dr. B.___ (Untersuch vom 31. August 2010) und Dr. H.___ (Untersuch 18. Juli 2011) gekommen. Der BEGAZ-Gutachter hat der Beschwerdeführerin aus neurologischer Sicht deshalb ab Mitte Januar 2011 eine 100 %ige Arbeitsfähigkeit attestiert. Darauf ist abzustellen. Der rheumatologische BEGAZ-Gutachter hat erklärt, dass die den rheumatologischen Fachbereich betreffenden objektiven Befunde klinisch nicht relevant und die bildgebenden Veränderungen geringgradig ausgeprägt gewesen seien. Aus rheumatologischer Sicht müsse daher bereits zwei Monate nach dem Unfallgeschehen von einer 100 %igen Arbeitsfähigkeit ausgegangen werden. Demgegenüber hat RAD-Arzt Dr. D.___ der Beschwerdeführerin am 22. März 2011 weiterhin eine 100 %ige Arbeit­unfähigkeit in jeglicher Tätigkeit attestiert und erklärt, dass mit der Diskushernie in der Höhe C6/7 mit leichter Einengung des Neuroforaminaeingangs der Wurzel C7 links ein radiologisch objektivierbares Korrelat vorhanden sei. Der rheumatologische Gutachter hatte die Diskushernie C6/7 in seiner Arbeitsfähigkeitsschätzung berücksichtigt (siehe IV-act. 63-77). Somit handelt es sich bei der Einschätzung des rheumatologischen Gutachters einerseits und derjenigen von Dr. D.___ andererseits um unterschiedliche Beurteilungen desselben medizinischen Sachverhalts. Dr. D.___ ist kein Facharzt für Rheumatologie (oder Neurologie), sondern ein Herzchirurg. Da davon auszugehen ist, dass ein Rheumatologe die Auswirkungen einer Diskushernie auf die Arbeitsfähigkeit besser einschätzen kann als ein Herzchirurg, ist auf die Arbeitsfähigkeitsschätzung des rheumatologischen BEGAZ-Gutachters abzustellen. Die Beschwerdeführerin ist somit aus somatischer Sicht mit überwiegender Wahrscheinlichkeit ab Mitte Januar 2011 wieder zu 100 % arbeitsfähig gewesen. 2.2      Der psychiatrische BEGAZ-Gutachter hat als Diagnosen mit Auswirkungen auf die Arbeitsfähigkeit akzentuierte narzisstische Persönlichkeitszüge, eine Panikstörung ohne Agoraphobie und eine mittelgradige depressive Episode mit Regressionstendenz, Selbstlimitierung und neurotischer Behindertenüberzeugung angegeben. Zudem leide die Beschwerdeführerin sehr wahrscheinlich an einer anhaltenden somatoformen Schmerzstörung. Die schwere, unbewusste Angstentwicklung stehe dabei im Vordergrund. Die Arbeitsunfähigkeit hat er auf maximal 50 % festgelegt. Als Gründe hat er eine verminderte Belastbarkeit, eine verminderte Stressbelastungsfähigkeit wegen der Ängste, eine deutliche Verlangsamung und Umständlichkeit sowie eine ungenügende Flexibilität angegeben. Die Einschätzung des BEGAZ-Gutachters überzeugt aus den folgenden Gründen nicht: 2.2.1         Erstens hat BEGAZ-Gutachter Dr. J.___ die Diagnose einer Panikstörung nicht schlüssig begründet. Die Beschwerdeführerin hatte ihm gegenüber sehr unspezifische Ängste geltend gemacht (Angst vor allem, Angst davor, dass jemand hinter ihr stehe und „zupacken“ könnte, Angst, dass sie nicht mehr aus dem Zimmer hinauskomme etc.). Zudem besteht eine Diskrepanz zwischen ihren Angaben gegenüber Dr. J.___ und denjenigen gegenüber den anderen Ärzten. So hat Dr. J.___ selbst festgestellt, dass die Beschwerdeführerin ihm gegenüber die nächtlichen Angstzustände völlig anders beschrieben hatte als gegenüber Dr. I.___. Gegenüber letzterer hatte die Beschwerdeführerin nämlich angegeben, vom Auffahrunfall zu träumen und dadurch in Panik zu geraten. Auch sog. Flashbacks, die sie gegenüber der Rehaklinik Bellikon angegeben hatte, hat sie bei der BEGAZ-Untersuchung nicht erwähnt. Ebenso hat sie gegenüber Dr. J.___ nicht geäussert, Angst vor einem erneuten Auffahrunfall zu haben. Diese Angst hat sie gegenüber Dr. D.___ noch als ihre grösste Angst bezeichnet. Gegenüber Dr. E.___ hat die Beschwerdeführerin wiederum andere Ängste geltend gemacht. Sie verspüre jedes Mal, wenn sie zur Psychotherapie bei Dr. I.___ gehe, starke Ängste, weil der Weg zur Praxis keine Fenster habe und sehr eng sei; zudem mache ihr jedes Klingeln des Telefons Angst. Weiter ist es für einen medizinischen Laien nicht nachvollziehbar, weshalb die Beschwerdeführerin durch den Auffahrunfall diverse, unspezifische Ängste entwickelt haben soll, jedoch die eigentliche Verrichtung, die Auslöser dieser Ängste gewesen ist und die nach wie vor eine reale Gefahr darstellt, nämlich das Autofahren, bereits weniger als einen Monat nach dem Unfall wieder selbständig ausgeübt hat (siehe Erhebungsblatt für die Abklärung von HWS-Fällen vom 19. Mai 2010, Fremdakten). Die Angst, erneut in einen Unfall verwickelt zu werden, hat sie also offenbar überwinden können oder bestand damals (noch) nicht. Zwar ist es möglich, dass eine derartige Entwicklung medizinisch erklärbar ist, aber dieser Aspekt hätte im psychiatrischen Teil des Gutachtens diskutiert werden müssen. Die Beschwerdeführerin hat auf Dr. J.___ klinisch überhaupt keinen ängstlichen, sondern einen eher etwas fordernden Eindruck gemacht. Seine Diagnose beruht somit einzig auf den unspezifischen und teilweise inkonsistenten Angaben der Beschwerdeführerin. Hinzu kommt, dass weder die behandelnde Psychiaterin Dr. I.___ noch Dr. M.___ vom Psychiatrischen Zentrum N.___ eine Panikstörung diagnostiziert haben. Unter Berücksichtigung aller Aspekte ist nicht mit dem Beweisgrad der überwiegenden Wahrscheinlichkeit erstellt, dass die Beschwerdeführerin an einer Panikstörung leidet oder gelitten hat. 2.2.2         Zweitens hat BEGAZ-Gutachter Dr. J.___ eine mittelgradige depressive Episode diagnostiziert. Hier fällt auf, dass er bei der klinischen Untersuchung eine leichte bis mittelgradige Depressivität festgestellt hat. Bei den Diagnosen hat er dann nur noch von einer mittelgradigen Depressivität gesprochen. Für einen medizinischen Laien macht es zudem den Anschein, als seien die depressionsspezifischen klinischen Befunde bei der Untersuchung nicht erheblich ausgeprägt gewesen (siehe IV-act. 63-31 f.; der Gutachter hat nämlich keine Antriebslosigkeit, keine wesentlichen Störungen der Vitalgefühle und intakte mnestische Funktionen festgestellt). Dr. J.___ hat denn auch erklärt, dass die depressive Symptomatik „im Hintergrund“ stehe. In den Akten wird immer wieder darauf hingewiesen, dass eine erhebliche psychosoziale Belastungssituation vorliege (siehe Berichte der Rehaklinik Bellikon, von Dr. B.___, Dr. P.___ und Dr. R.___). Dr. J.___ hat es jedoch unterlassen, sich in seiner Beurteilung mit diesen psychosozialen Belastungsfaktoren und ihrer Auswirkung auf die Schwere und den Fortbestand der Depression auseinanderzusetzen. 2.2.3         Drittens hat der BEGAZ-Gutachter Dr. J.___ den Verdacht auf eine anhaltende somatoforme Schmerzstörung angegeben. Er hat diese Diagnose unter den Diagnosen mit Auswirkungen auf die Arbeitsfähigkeit aufgelistet (IV-act. 63-94). Allerdings ist unklar, inwieweit er ihr einen Einfluss auf die Arbeitsfähigkeit beigemessen hat. Das Bundesgericht hat in BGE 141 V 281, mit welchem es seine Praxis zu den somatoformen Schmerzstörungen und vergleichbaren psychosomatischen Leiden geändert hat, darauf hingewiesen, dass die schweizerische Versicherungspraxis die grundlegenden Merkmale nach ICD-10 Ziff. 45.40 über weite Strecken nicht beachte; die Diagnose einer anhaltenden somatoformen Schmerzstörung finde meistens ohne ausreichenden Bezug auf die funktionserhebliche Befundlage Eingang in ärztliche Berichte und Gutachten. Vermutlich werde deutlich zu häufig eine anhaltende somatoforme Schmerzstörung diagnostiziert (Erw. 2.1.1). Soweit die Leistungseinschränkung auf Aggravation oder einer ähnlichen Erscheinung beruhe, liege regelmässig keine versicherte Gesundheitsschädigung vor. Hinweise auf solche und andere Äusserungen eines sekundären Krankheitsgewinns ergäben sich namentlich, wenn eine erhebliche Diskrepanz zwischen den geschilderten Schmerzen und dem gezeigten Verhalten oder der Anamnese bestehe, wenn intensive Schmerzen angegeben würden, deren Charakterisierung jedoch vage bleibe, wenn keine medizinische Behandlung und Therapie in Anspruch genommen werde, wenn demonstrativ vorgetragene Klagen auf den Sachverständigen unglaubwürdig wirkten und wenn schwere Einschränkungen im Alltag behauptet würden, das psychosoziale Umfeld jedoch weitgehend intakt sei (Erw. 2.2.1). Vor dem Hintergrund der von den behandelnden und untersuchenden Ärzten umschriebenen diffusen Schmerzangaben, dem nicht adäquaten Schmerzverhalten und dem inkonsistenten Leistungsverhalten erscheint fraglich, ob vorliegend tatsächlich eine somatoforme Schmerzstörung mit Einfluss auf die Arbeitsfähigkeit diagnostiziert werden kann. Somit überzeugt das psychiatrische Gutachten auch bezüglich der Diagnose des Verdachts auf eine anhaltende somatoforme Schmerzstörung nicht. 2.2.4         Zusammenfassend ist festzuhalten, dass die psychiatrische Einschätzung von Dr. J.___ aus verschiedenen Gründen nicht überzeugt. Aber auch die Einschätzung der behandelnden Psychiaterin Dr. I.___ leuchtet nicht ein. Sie hat eine posttraumatische Belastungsstörung diagnostiziert, obwohl diese ein Ereignis mit aussergewöhnlicher Bedrohung oder katastrophenartigem Ausmass vorausgesetzt hätte (siehe ICD-10 Ziff. F43.1). Um ein solches hat es sich beim Auffahrunfall vom 23. April 2010 ganz offensichtlich nicht gehandelt, was im Übrigen auch Dr. J.___ und RAD-Arzt Dr. O.___ (Stellungnahme vom 20. November 2012, IV-act. 74) bestätigt haben. Der Observationsbericht und die medizinischen Stellungnahmen zu den Observationsergebnissen vermögen für sich allein ebenfalls nicht mit dem notwendigen Beweisgrad der überwiegenden Wahrscheinlichkeit zu belegen, dass die Beschwerdeführerin nicht an einer psychiatrischen Störung mit Einfluss auf die Arbeitsfähigkeit leidet. So kann aufgrund von Videoaufnahmen beispielsweise nicht festgestellt werden, ob eine versicherte Person unter einer gedrückten Stimmung, an einer inneren Unruhe, an Schlafstörungen oder unter nächtlichen Panikattacken leidet oder nicht. Die Observationsergebnisse sind daher nicht geeignet, eine überzeugende Arbeitsfähigkeits- bzw. Arbeitsunfähigkeitsschätzung durch einen psychiatrischen Sachverständigen zu ersetzen. Hinzu kommt, dass die rechtliche Verwertbarkeit der Observationsergebnisse durch das Gericht nicht beurteilt werden kann. In den dem Gericht vorgelegten Beweismitteln fehlen nämlich insbesondere Unterlagen zum Umstand, der die Haftpflichtversicherung veranlasst hat, eine Observation in Auftrag zu geben. Grundsätzlich könnten die Observationsergebnisse allerdings − entgegen der Behauptung des Rechtsvertreters − trotz der Tatsache, dass die entsprechende Abklärung kurz nach dem Erlass der angefochtenen Verfügung vorgenommen worden ist, für das vorliegende Verfahren relevant sein: Die Beschwerdeführerin hat nämlich nicht geltend gemacht, dass sich ihr Gesundheitszustand zwischenzeitlich wesentlich verändert, insbesondere verbessert hätte. Da die Sache − wie nachfolgend aufzuzeigen sein wird − ohnehin an die Beschwerdegegnerin zurückzuweisen ist, wird diese die notwendigen Unterlagen von der Haftpflichtversicherung noch einfordern und gestützt auf diese entscheiden müssen, ob die Observationsergebnisse im IV-Verfahren verwertbar sind. Dabei wird sie sich mit den Einwänden des Rechtsvertreters (act. G 12) auseinandersetzen müssen. Kommt die Beschwerdegegnerin zum Schluss, dass die Observationsergebnisse im IV-Verfahren verwertbar sind, müssen diese dem neuen psychiatrischen Gutachter zur Stellungnahme vorgelegt werden. Zusammenfassend ist festzuhalten, dass die Arbeitsunfähigkeit der Beschwerdeführerin nicht mit dem Beweisgrad der überwiegenden Wahrscheinlichkeit feststeht, weil die objektiven Auswirkungen einer allfälligen Beeinträchtigung der psychischen Gesundheit nicht ausreichend geklärt sind. Damit erweist sich eine erneute psychiatrische Begutachtung als unumgänglich, bei der allenfalls auch die Observationsergebnisse in die Beurteilung und damit auch in die Arbeitsfähigkeitsschätzung einbezogen werden.</w:t>
      </w:r>
    </w:p>
    <w:p>
      <w:r>
        <w:rPr>
          <w:b/>
        </w:rPr>
        <w:t>E. 3</w:t>
      </w:r>
    </w:p>
    <w:p>
      <w:r>
        <w:t>Es bleibt zu prüfen, ob die Beschwerdegegnerin oder das Gericht die psychiatrische Neubegutachtung in Auftrag gegeben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Administrativgutachten im Recht, wobei das psychiatrische Teilgutachten nicht überzeugt und somit nicht beweiskräftig ist. Gemäss der bundesgerichtlichen Rechtsprechung müsste in diesem Fall ein Gerichtsgutachten eingeholt werden. Die bundesgerichtliche Praxis leuchtet jedoch nicht ein: Die Beschwerdegegnerin ist gestützt auf Art. 43 Abs. 1 ATSG verpflichtet, die notwendigen Abklärungen von Amtes wegen vorzunehmen. Die Beschwerdegegnerin hat somit u.a. den medizinischen Sachverhalt soweit abzuklären, dass die Arbeitsunfähigkeit der versicherten Person mit dem Beweisgrad der überwiegenden Wahrscheinlichkeit feststeht. Die Beschwerdegegnerin hat die Arbeitsunfähigkeit in psychiatrischer Hinsicht nur ungenügend abgeklärt. Würde das Versicherungsgericht nun ein Gerichtsgutachten in Auftrag geben, würde es eine der Beschwerdegegnerin obliegende Aufgabe sozusagen „übernehmen“. Dies wäre jedoch rechtswidrig, da der Gesetzgeber diese Aufgabe, d.h. die rechtsgenügliche Ermittlung des Sachverhalts, der Beschwerdegegnerin zugewiesen hat. Eine solche Rechtsverletzung kann durch die vom Bundesgericht angeführten Vorteile von Gerichtsgutachten, namentlich der Straffung des Gesamtverfahrens und der beschleunigten Rechtsgewährung (siehe (BGE 137 V 210 E. 4.4.1.2), nicht „geheilt“ werden. Zu beachten ist auch, dass einer versicherten Person durch die Einholung eines Gerichtsgutachtens die Möglichkeit genommen wird,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Demnach ist die angefochtene Verfügung aufzuheben und die Sache zur weiteren Abklärung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in gleicher Höhe wird der Beschwerdeführerin zurückerstattet.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21. März 2013 aufgehoben und die Sache wird zur weiteren Abklärung und zur anschliessenden Neuverfügung im Sinne der Erwägungen an die Beschwerdegegnerin zurückgewiesen. 2. Die Beschwerdegegnerin hat die Gerichtskosten von Fr. 600.-- zu bezahlen; der geleistete Kostenvorschuss in der Höhe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